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17549" w14:textId="7D9184E1" w:rsidR="006F0A0A" w:rsidRPr="006F0A0A" w:rsidRDefault="006F0A0A" w:rsidP="006F0A0A">
      <w:pPr>
        <w:jc w:val="right"/>
        <w:rPr>
          <w:bCs/>
          <w:sz w:val="20"/>
          <w:szCs w:val="20"/>
        </w:rPr>
      </w:pPr>
      <w:bookmarkStart w:id="0" w:name="_GoBack"/>
      <w:bookmarkEnd w:id="0"/>
      <w:r>
        <w:rPr>
          <w:noProof/>
          <w:lang w:val="fr-FR"/>
        </w:rPr>
        <w:drawing>
          <wp:anchor distT="0" distB="0" distL="114300" distR="114300" simplePos="0" relativeHeight="251662336" behindDoc="0" locked="0" layoutInCell="1" allowOverlap="1" wp14:anchorId="52A3A2F3" wp14:editId="19134663">
            <wp:simplePos x="0" y="0"/>
            <wp:positionH relativeFrom="margin">
              <wp:posOffset>1282700</wp:posOffset>
            </wp:positionH>
            <wp:positionV relativeFrom="paragraph">
              <wp:posOffset>-406400</wp:posOffset>
            </wp:positionV>
            <wp:extent cx="1471035" cy="5899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103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60288" behindDoc="0" locked="0" layoutInCell="1" allowOverlap="1" wp14:anchorId="030D756B" wp14:editId="0D34F28A">
            <wp:simplePos x="0" y="0"/>
            <wp:positionH relativeFrom="margin">
              <wp:posOffset>63500</wp:posOffset>
            </wp:positionH>
            <wp:positionV relativeFrom="paragraph">
              <wp:posOffset>-401320</wp:posOffset>
            </wp:positionV>
            <wp:extent cx="1059180" cy="571910"/>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57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A0A">
        <w:rPr>
          <w:bCs/>
          <w:sz w:val="20"/>
          <w:szCs w:val="20"/>
        </w:rPr>
        <w:t>Alerte presse</w:t>
      </w:r>
    </w:p>
    <w:p w14:paraId="462FED57" w14:textId="2690F7BD" w:rsidR="006F0A0A" w:rsidRPr="006F0A0A" w:rsidRDefault="006F0A0A" w:rsidP="006F0A0A">
      <w:pPr>
        <w:jc w:val="right"/>
        <w:rPr>
          <w:bCs/>
          <w:sz w:val="20"/>
          <w:szCs w:val="20"/>
        </w:rPr>
      </w:pPr>
      <w:r w:rsidRPr="006F0A0A">
        <w:rPr>
          <w:bCs/>
          <w:sz w:val="20"/>
          <w:szCs w:val="20"/>
        </w:rPr>
        <w:t>9 septembre 20</w:t>
      </w:r>
      <w:r w:rsidR="00B23E9B">
        <w:rPr>
          <w:bCs/>
          <w:sz w:val="20"/>
          <w:szCs w:val="20"/>
        </w:rPr>
        <w:t>21</w:t>
      </w:r>
    </w:p>
    <w:p w14:paraId="1EA099C8" w14:textId="037FD0F1" w:rsidR="006F0A0A" w:rsidRDefault="006F0A0A" w:rsidP="002B6CFC">
      <w:pPr>
        <w:jc w:val="center"/>
        <w:rPr>
          <w:b/>
        </w:rPr>
      </w:pPr>
    </w:p>
    <w:p w14:paraId="14EAD2B9" w14:textId="77777777" w:rsidR="006F0A0A" w:rsidRDefault="006F0A0A" w:rsidP="002B6CFC">
      <w:pPr>
        <w:jc w:val="center"/>
        <w:rPr>
          <w:b/>
        </w:rPr>
      </w:pPr>
    </w:p>
    <w:p w14:paraId="7D638203" w14:textId="12384CE6" w:rsidR="002B6CFC" w:rsidRPr="002B6CFC" w:rsidRDefault="002B6CFC" w:rsidP="002B6CFC">
      <w:pPr>
        <w:jc w:val="center"/>
        <w:rPr>
          <w:b/>
        </w:rPr>
      </w:pPr>
      <w:r w:rsidRPr="002B6CFC">
        <w:rPr>
          <w:b/>
        </w:rPr>
        <w:t xml:space="preserve">Vicat </w:t>
      </w:r>
      <w:r w:rsidR="00724CC4">
        <w:rPr>
          <w:b/>
        </w:rPr>
        <w:t xml:space="preserve">et </w:t>
      </w:r>
      <w:r w:rsidRPr="002B6CFC">
        <w:rPr>
          <w:b/>
        </w:rPr>
        <w:t xml:space="preserve">Hynamics (EDF) dévoilent le projet Hynovi, pour la décarbonation du secteur cimentier et la production de méthanol </w:t>
      </w:r>
      <w:r w:rsidR="0088214B">
        <w:rPr>
          <w:b/>
        </w:rPr>
        <w:t>décarboné</w:t>
      </w:r>
      <w:r w:rsidRPr="002B6CFC">
        <w:rPr>
          <w:b/>
        </w:rPr>
        <w:t>.</w:t>
      </w:r>
    </w:p>
    <w:p w14:paraId="6D7FAA84" w14:textId="77777777" w:rsidR="002B6CFC" w:rsidRDefault="002B6CFC" w:rsidP="002B6CFC"/>
    <w:p w14:paraId="55BD8CDA" w14:textId="77777777" w:rsidR="002B6CFC" w:rsidRDefault="002B6CFC" w:rsidP="002B6CFC"/>
    <w:p w14:paraId="63D16D9F" w14:textId="481F7472" w:rsidR="002B6CFC" w:rsidRDefault="002B6CFC" w:rsidP="002B6CFC">
      <w:pPr>
        <w:jc w:val="both"/>
      </w:pPr>
      <w:r>
        <w:t xml:space="preserve">Vicat, l’unique cimentier français </w:t>
      </w:r>
      <w:r w:rsidR="00724CC4">
        <w:t xml:space="preserve">et </w:t>
      </w:r>
      <w:r>
        <w:t>Hynamics, filiale du Groupe EDF spécialisée dans l</w:t>
      </w:r>
      <w:r w:rsidR="0088214B">
        <w:t>a production d</w:t>
      </w:r>
      <w:r>
        <w:t>’hydrogène, s’allient pour développer une solution intégrée de capture de CO</w:t>
      </w:r>
      <w:r w:rsidRPr="00B857BC">
        <w:rPr>
          <w:vertAlign w:val="subscript"/>
        </w:rPr>
        <w:t>2</w:t>
      </w:r>
      <w:r>
        <w:t xml:space="preserve"> et de production de méthanol </w:t>
      </w:r>
      <w:r w:rsidR="0088214B">
        <w:t>décarboné</w:t>
      </w:r>
      <w:r>
        <w:t xml:space="preserve">. Le projet qui porte le nom Hynovi vise à créer la </w:t>
      </w:r>
      <w:r>
        <w:rPr>
          <w:b/>
        </w:rPr>
        <w:t xml:space="preserve">première filière de production de méthanol </w:t>
      </w:r>
      <w:r w:rsidR="00BC5F6B">
        <w:rPr>
          <w:b/>
        </w:rPr>
        <w:t xml:space="preserve">décarboné </w:t>
      </w:r>
      <w:r>
        <w:rPr>
          <w:b/>
        </w:rPr>
        <w:t>en France</w:t>
      </w:r>
      <w:r>
        <w:t xml:space="preserve"> et s’inscrit dans les</w:t>
      </w:r>
      <w:r>
        <w:rPr>
          <w:b/>
        </w:rPr>
        <w:t xml:space="preserve"> objectifs du gouvernement français en matière de décarbonation de l’industrie et d’indépendance énergétique</w:t>
      </w:r>
      <w:r w:rsidR="00E74C41">
        <w:rPr>
          <w:b/>
        </w:rPr>
        <w:t xml:space="preserve">, dont les carburants de synthèse constituent l’un des principaux </w:t>
      </w:r>
      <w:r w:rsidR="0088214B">
        <w:rPr>
          <w:b/>
        </w:rPr>
        <w:t>leviers</w:t>
      </w:r>
      <w:r>
        <w:t>.</w:t>
      </w:r>
      <w:r w:rsidR="0088214B">
        <w:t xml:space="preserve"> Dans le cadre de l’appel à projets « </w:t>
      </w:r>
      <w:r w:rsidR="0088214B" w:rsidRPr="0088214B">
        <w:t>Projet Important d'Intérêt Européen Commun (PIIEC/IPCEI)</w:t>
      </w:r>
      <w:r w:rsidR="0088214B">
        <w:t> », Hynovi a été pré-notifié par l’</w:t>
      </w:r>
      <w:r w:rsidR="0088214B" w:rsidRPr="0088214B">
        <w:t>É</w:t>
      </w:r>
      <w:r w:rsidR="0088214B">
        <w:t>tat français et est en cours d’instruction par la Commission européenne.</w:t>
      </w:r>
    </w:p>
    <w:p w14:paraId="74675236" w14:textId="77777777" w:rsidR="002B6CFC" w:rsidRDefault="002B6CFC" w:rsidP="002B6CFC">
      <w:pPr>
        <w:jc w:val="both"/>
      </w:pPr>
    </w:p>
    <w:p w14:paraId="3AC9DF93" w14:textId="0BF2ECB0" w:rsidR="002B6CFC" w:rsidRDefault="002B6CFC" w:rsidP="002B6CFC">
      <w:pPr>
        <w:jc w:val="both"/>
        <w:rPr>
          <w:b/>
        </w:rPr>
      </w:pPr>
      <w:r>
        <w:t>Le projet Hynovi cherche à capter</w:t>
      </w:r>
      <w:r>
        <w:rPr>
          <w:b/>
        </w:rPr>
        <w:t xml:space="preserve"> 40% du CO</w:t>
      </w:r>
      <w:r w:rsidRPr="00B857BC">
        <w:rPr>
          <w:b/>
          <w:vertAlign w:val="subscript"/>
        </w:rPr>
        <w:t>2</w:t>
      </w:r>
      <w:r>
        <w:t xml:space="preserve"> émis par la cimenterie Vicat de Montalieu-Vercieu (38)</w:t>
      </w:r>
      <w:r w:rsidR="00AE6098">
        <w:t>.</w:t>
      </w:r>
      <w:r>
        <w:t xml:space="preserve"> Le carbone produit par la cimenterie sera récupéré et combiné à l’hydrogène </w:t>
      </w:r>
      <w:r w:rsidR="00C96022">
        <w:t>bas</w:t>
      </w:r>
      <w:r w:rsidR="00E74C41">
        <w:t xml:space="preserve"> </w:t>
      </w:r>
      <w:r w:rsidR="00C96022">
        <w:t xml:space="preserve">carbone </w:t>
      </w:r>
      <w:r>
        <w:t xml:space="preserve">de Hynamics pour ainsi fabriquer du </w:t>
      </w:r>
      <w:r>
        <w:rPr>
          <w:b/>
        </w:rPr>
        <w:t xml:space="preserve">méthanol </w:t>
      </w:r>
      <w:r w:rsidR="00BC5F6B">
        <w:rPr>
          <w:b/>
        </w:rPr>
        <w:t>décarboné</w:t>
      </w:r>
      <w:r>
        <w:rPr>
          <w:b/>
        </w:rPr>
        <w:t xml:space="preserve">. </w:t>
      </w:r>
    </w:p>
    <w:p w14:paraId="6D92CAEA" w14:textId="77777777" w:rsidR="002B6CFC" w:rsidRDefault="002B6CFC" w:rsidP="002B6CFC">
      <w:pPr>
        <w:jc w:val="both"/>
        <w:rPr>
          <w:b/>
        </w:rPr>
      </w:pPr>
    </w:p>
    <w:p w14:paraId="337F5BE9" w14:textId="64F940B6" w:rsidR="002B6CFC" w:rsidRDefault="002B6CFC" w:rsidP="002B6CFC">
      <w:pPr>
        <w:jc w:val="both"/>
      </w:pPr>
      <w:r>
        <w:t xml:space="preserve">Un enjeu de taille car en dix ans, la </w:t>
      </w:r>
      <w:r>
        <w:rPr>
          <w:b/>
        </w:rPr>
        <w:t>consommation mondiale de méthanol a doublé</w:t>
      </w:r>
      <w:r>
        <w:t xml:space="preserve"> et connaîtra une croissance soutenue d’ici à 2050, pour répondre aux nouveaux besoins liés à la mobilité et la chimie décarbonée. Très largement importé en France et produit à 99% à partir d’énergies fossiles, le méthanol est utilisé par </w:t>
      </w:r>
      <w:r>
        <w:rPr>
          <w:b/>
        </w:rPr>
        <w:t xml:space="preserve">de nombreuses industries telles que </w:t>
      </w:r>
      <w:r w:rsidR="00C96022">
        <w:rPr>
          <w:b/>
        </w:rPr>
        <w:t>le transport</w:t>
      </w:r>
      <w:r w:rsidR="00BC5F6B">
        <w:rPr>
          <w:b/>
        </w:rPr>
        <w:t xml:space="preserve">, </w:t>
      </w:r>
      <w:r>
        <w:rPr>
          <w:b/>
        </w:rPr>
        <w:t xml:space="preserve">la chimie et la </w:t>
      </w:r>
      <w:r w:rsidRPr="00FF3F6E">
        <w:rPr>
          <w:b/>
        </w:rPr>
        <w:t>construction</w:t>
      </w:r>
      <w:r w:rsidRPr="00FF3F6E">
        <w:t>. Il peut également</w:t>
      </w:r>
      <w:r w:rsidRPr="00FF3F6E">
        <w:rPr>
          <w:b/>
        </w:rPr>
        <w:t xml:space="preserve"> servir de carburant de synthèse</w:t>
      </w:r>
      <w:r w:rsidRPr="00FF3F6E">
        <w:t xml:space="preserve"> pour les bateaux. Au regard de</w:t>
      </w:r>
      <w:r>
        <w:t xml:space="preserve"> l’urgence climatique, le projet Hynovi devrait éviter l’émission </w:t>
      </w:r>
      <w:r>
        <w:rPr>
          <w:b/>
        </w:rPr>
        <w:t xml:space="preserve">d’un </w:t>
      </w:r>
      <w:r w:rsidR="00BC5F6B">
        <w:rPr>
          <w:b/>
        </w:rPr>
        <w:t>demi-</w:t>
      </w:r>
      <w:r>
        <w:rPr>
          <w:b/>
        </w:rPr>
        <w:t>million de tonnes de CO</w:t>
      </w:r>
      <w:r w:rsidRPr="00B857BC">
        <w:rPr>
          <w:b/>
          <w:vertAlign w:val="subscript"/>
        </w:rPr>
        <w:t>2</w:t>
      </w:r>
      <w:r w:rsidR="00B857BC">
        <w:rPr>
          <w:b/>
        </w:rPr>
        <w:t xml:space="preserve"> chaque année.</w:t>
      </w:r>
    </w:p>
    <w:p w14:paraId="37F5B883" w14:textId="77777777" w:rsidR="002B6CFC" w:rsidRDefault="002B6CFC" w:rsidP="002B6CFC">
      <w:pPr>
        <w:jc w:val="both"/>
      </w:pPr>
    </w:p>
    <w:p w14:paraId="68B43C46" w14:textId="6323782D" w:rsidR="002B6CFC" w:rsidRDefault="002B6CFC" w:rsidP="002B6CFC">
      <w:pPr>
        <w:jc w:val="both"/>
      </w:pPr>
      <w:r w:rsidRPr="00FF3F6E">
        <w:t>Grâce à l’installation d’un électrolyseur d’une puissance de 330 MW d’ici 2025 sur le site de la cimenterie</w:t>
      </w:r>
      <w:r w:rsidR="0088214B">
        <w:t xml:space="preserve">, </w:t>
      </w:r>
      <w:r w:rsidR="00E74C41">
        <w:t>au captage</w:t>
      </w:r>
      <w:r w:rsidRPr="00FF3F6E">
        <w:t xml:space="preserve"> des émissions de CO</w:t>
      </w:r>
      <w:r w:rsidRPr="00B857BC">
        <w:rPr>
          <w:vertAlign w:val="subscript"/>
        </w:rPr>
        <w:t>2</w:t>
      </w:r>
      <w:r w:rsidRPr="00FF3F6E">
        <w:t xml:space="preserve"> à la sortie du four</w:t>
      </w:r>
      <w:r w:rsidR="0088214B">
        <w:t xml:space="preserve"> et à l’utilisation de l’oxygène pour faire de l’oxy-combustion</w:t>
      </w:r>
      <w:r w:rsidRPr="00FF3F6E">
        <w:t>,</w:t>
      </w:r>
      <w:r>
        <w:t xml:space="preserve"> Hynamics</w:t>
      </w:r>
      <w:r w:rsidR="007A71A9">
        <w:t xml:space="preserve"> et </w:t>
      </w:r>
      <w:r>
        <w:t xml:space="preserve">Vicat comptent produire plus de </w:t>
      </w:r>
      <w:r>
        <w:rPr>
          <w:b/>
        </w:rPr>
        <w:t>200 000 tonnes de méthanol par an</w:t>
      </w:r>
      <w:r>
        <w:t xml:space="preserve">, </w:t>
      </w:r>
      <w:r>
        <w:rPr>
          <w:b/>
        </w:rPr>
        <w:t xml:space="preserve">soit un quart de la consommation totale de la France. </w:t>
      </w:r>
      <w:r>
        <w:t xml:space="preserve">Ce projet ambitieux pourra ensuite être dupliqué dans d’autres </w:t>
      </w:r>
      <w:r w:rsidR="00735607">
        <w:t xml:space="preserve">industries </w:t>
      </w:r>
      <w:r w:rsidR="00BC5F6B">
        <w:t xml:space="preserve">européennes </w:t>
      </w:r>
      <w:r>
        <w:t>et dans le monde.</w:t>
      </w:r>
    </w:p>
    <w:p w14:paraId="65793C98" w14:textId="77777777" w:rsidR="00A10512" w:rsidRDefault="00154B6D"/>
    <w:p w14:paraId="1FF6DC0F" w14:textId="2974C5F9" w:rsidR="00E423C7" w:rsidRDefault="002A7466">
      <w:r>
        <w:t xml:space="preserve">Hynovi s’inscrit plus largement dans le cadre d’un partenariat innovant et ambitieux </w:t>
      </w:r>
      <w:r w:rsidR="00C96022">
        <w:t xml:space="preserve">entre les deux groupes </w:t>
      </w:r>
      <w:r w:rsidR="003A0DD8">
        <w:t xml:space="preserve">visant à </w:t>
      </w:r>
      <w:r w:rsidR="00C96022">
        <w:t>décarboner les cimenteries de Vicat.</w:t>
      </w:r>
      <w:r w:rsidR="00865A07">
        <w:t xml:space="preserve"> La coordination des </w:t>
      </w:r>
      <w:r w:rsidR="00B11773">
        <w:t>équipes R&amp;D, commerciales, juridiques et marketing des deux acteurs permettra de consolider l’offre d’Hynamics et d’affirmer les objectifs de neutralité carbone de Vicat.</w:t>
      </w:r>
    </w:p>
    <w:p w14:paraId="7FDBA078" w14:textId="27A81295" w:rsidR="00E423C7" w:rsidRDefault="00E423C7"/>
    <w:p w14:paraId="6F444CC7" w14:textId="77777777" w:rsidR="006E5289" w:rsidRPr="006E5289" w:rsidRDefault="006E5289" w:rsidP="006E5289">
      <w:pPr>
        <w:jc w:val="both"/>
        <w:rPr>
          <w:rFonts w:asciiTheme="minorHAnsi" w:eastAsiaTheme="minorHAnsi" w:hAnsiTheme="minorHAnsi" w:cstheme="minorBidi"/>
          <w:b/>
          <w:bCs/>
          <w:sz w:val="18"/>
          <w:szCs w:val="18"/>
          <w:lang w:val="fr-FR"/>
        </w:rPr>
      </w:pPr>
      <w:r w:rsidRPr="006E5289">
        <w:rPr>
          <w:b/>
          <w:bCs/>
          <w:sz w:val="18"/>
          <w:szCs w:val="18"/>
        </w:rPr>
        <w:t>À propos de Vicat</w:t>
      </w:r>
    </w:p>
    <w:p w14:paraId="4CBC07C0" w14:textId="658B9FEF" w:rsidR="006E5289" w:rsidRDefault="006E5289" w:rsidP="006E5289">
      <w:pPr>
        <w:jc w:val="both"/>
        <w:rPr>
          <w:sz w:val="18"/>
          <w:szCs w:val="18"/>
        </w:rPr>
      </w:pPr>
      <w:r w:rsidRPr="006E5289">
        <w:rPr>
          <w:sz w:val="18"/>
          <w:szCs w:val="18"/>
        </w:rPr>
        <w:t xml:space="preserve">Fort de plus de 200 ans d’expérience, Vicat est un acteur industriel de référence dans le domaine des matériaux de construction minéraux et biosourcés. Engagée sur une trajectoire de neutralité carbone sur sa chaîne de valeur d’ici à 2050, l’entreprise familiale (cotée en bourse) exerce aujourd’hui 3 métiers principaux que sont le Ciment, le Béton Prêt à l’Emploi (BPE) et les Granulats, ainsi que des activités complémentaires à ces métiers de base. Le groupe cimentier emploie près de 9 900 personnes et a réalisé un chiffre d’affaires consolidé de 2,8 milliards d’euros </w:t>
      </w:r>
      <w:r w:rsidRPr="006E5289">
        <w:rPr>
          <w:sz w:val="18"/>
          <w:szCs w:val="18"/>
        </w:rPr>
        <w:lastRenderedPageBreak/>
        <w:t>en 2020. Présent dans 12 pays – France, Suisse, Italie, États-Unis, Turquie, Égypte, Sénégal, Mali, Mauritanie, Kazakhstan, Inde et Brésil – Vicat réalise 2/3 de son chiffre d’affaires à l’international.</w:t>
      </w:r>
    </w:p>
    <w:p w14:paraId="3883845E" w14:textId="2879DD3F" w:rsidR="00CC06DB" w:rsidRDefault="00CC06DB" w:rsidP="006E5289">
      <w:pPr>
        <w:jc w:val="both"/>
        <w:rPr>
          <w:sz w:val="18"/>
          <w:szCs w:val="18"/>
        </w:rPr>
      </w:pPr>
    </w:p>
    <w:p w14:paraId="51E256DA" w14:textId="77777777" w:rsidR="00CC06DB" w:rsidRPr="00CC06DB" w:rsidRDefault="00CC06DB" w:rsidP="00CC06DB">
      <w:pPr>
        <w:jc w:val="both"/>
        <w:rPr>
          <w:b/>
          <w:bCs/>
          <w:sz w:val="18"/>
          <w:szCs w:val="18"/>
        </w:rPr>
      </w:pPr>
      <w:r w:rsidRPr="00CC06DB">
        <w:rPr>
          <w:b/>
          <w:bCs/>
          <w:sz w:val="18"/>
          <w:szCs w:val="18"/>
        </w:rPr>
        <w:t>A propos d’EDF</w:t>
      </w:r>
    </w:p>
    <w:p w14:paraId="732AB7B8" w14:textId="77777777" w:rsidR="00CC06DB" w:rsidRPr="00CC06DB" w:rsidRDefault="00CC06DB" w:rsidP="00CC06DB">
      <w:pPr>
        <w:jc w:val="both"/>
        <w:rPr>
          <w:sz w:val="18"/>
          <w:szCs w:val="18"/>
        </w:rPr>
      </w:pPr>
      <w:r w:rsidRPr="00CC06DB">
        <w:rPr>
          <w:sz w:val="18"/>
          <w:szCs w:val="18"/>
        </w:rPr>
        <w:t>Acteur majeur de la transition énergétique, le groupe EDF est un énergéticien intégré, présent sur l’ensemble des métiers : la production, le transport, la distribution, le négoce, la vente d’énergie et les services énergétiques. Leader des énergies bas carbone dans le monde, le Groupe a développé un mix de production diversifié basé principalement sur l’énergie nucléaire et renouvelable (y compris l’hydraulique) et investit dans de nouvelles technologies pour accompagner la transition énergétique. La raison d’être d’EDF est de construire un avenir énergétique neutre en CO2 conciliant préservation de la planète, bien-être et développement, grâce à l’électricité et à des solutions et services innovants. Le Groupe participe à la fourniture d’énergie et de services à environ 37,9 millions de clients (1), dont 28,7 millions en France (2). Il a réalisé en 2020 un chiffre d’affaires consolidé de 69,0 milliards d’euros. EDF est une entreprise cotée à la Bourse de Paris.</w:t>
      </w:r>
    </w:p>
    <w:p w14:paraId="48D6F578" w14:textId="77777777" w:rsidR="00CC06DB" w:rsidRPr="00CC06DB" w:rsidRDefault="00CC06DB" w:rsidP="00CC06DB">
      <w:pPr>
        <w:jc w:val="both"/>
        <w:rPr>
          <w:sz w:val="18"/>
          <w:szCs w:val="18"/>
        </w:rPr>
      </w:pPr>
      <w:r w:rsidRPr="00CC06DB">
        <w:rPr>
          <w:sz w:val="18"/>
          <w:szCs w:val="18"/>
        </w:rPr>
        <w:t>(1) Les clients sont décomptés depuis 2018 par site de livraison ; un client peut avoir deux points de livraison : un pour l’électricité et un autre pour le gaz.</w:t>
      </w:r>
    </w:p>
    <w:p w14:paraId="7993DE86" w14:textId="77777777" w:rsidR="00CC06DB" w:rsidRPr="00CC06DB" w:rsidRDefault="00CC06DB" w:rsidP="00CC06DB">
      <w:pPr>
        <w:jc w:val="both"/>
        <w:rPr>
          <w:sz w:val="18"/>
          <w:szCs w:val="18"/>
        </w:rPr>
      </w:pPr>
      <w:r w:rsidRPr="00CC06DB">
        <w:rPr>
          <w:sz w:val="18"/>
          <w:szCs w:val="18"/>
        </w:rPr>
        <w:t>(2) Y compris ÉS (Électricité de Strasbourg)</w:t>
      </w:r>
    </w:p>
    <w:p w14:paraId="66297E38" w14:textId="77777777" w:rsidR="00CC06DB" w:rsidRPr="00CC06DB" w:rsidRDefault="00CC06DB" w:rsidP="006E5289">
      <w:pPr>
        <w:jc w:val="both"/>
        <w:rPr>
          <w:sz w:val="20"/>
          <w:szCs w:val="20"/>
          <w:lang w:val="fr-FR"/>
        </w:rPr>
      </w:pPr>
    </w:p>
    <w:p w14:paraId="648240B1" w14:textId="77777777" w:rsidR="006E5289" w:rsidRDefault="006E5289" w:rsidP="006E5289">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06DB" w14:paraId="655700D1" w14:textId="77777777" w:rsidTr="00CC06DB">
        <w:tc>
          <w:tcPr>
            <w:tcW w:w="4531" w:type="dxa"/>
          </w:tcPr>
          <w:p w14:paraId="4A143490" w14:textId="77777777" w:rsidR="00CC06DB" w:rsidRPr="006E5289" w:rsidRDefault="00CC06DB" w:rsidP="00CC06DB">
            <w:pPr>
              <w:jc w:val="both"/>
              <w:rPr>
                <w:b/>
                <w:bCs/>
                <w:sz w:val="18"/>
                <w:szCs w:val="18"/>
              </w:rPr>
            </w:pPr>
            <w:r w:rsidRPr="006E5289">
              <w:rPr>
                <w:b/>
                <w:bCs/>
                <w:sz w:val="18"/>
                <w:szCs w:val="18"/>
              </w:rPr>
              <w:t>CONTACT MEDIAS</w:t>
            </w:r>
          </w:p>
          <w:p w14:paraId="04315B72" w14:textId="77777777" w:rsidR="00CC06DB" w:rsidRPr="006E5289" w:rsidRDefault="00CC06DB" w:rsidP="00CC06DB">
            <w:pPr>
              <w:jc w:val="both"/>
              <w:rPr>
                <w:sz w:val="18"/>
                <w:szCs w:val="18"/>
              </w:rPr>
            </w:pPr>
            <w:r w:rsidRPr="006E5289">
              <w:rPr>
                <w:sz w:val="18"/>
                <w:szCs w:val="18"/>
              </w:rPr>
              <w:t>Monet + Associés</w:t>
            </w:r>
            <w:r>
              <w:rPr>
                <w:sz w:val="18"/>
                <w:szCs w:val="18"/>
              </w:rPr>
              <w:t xml:space="preserve"> pour le groupe Vicat </w:t>
            </w:r>
          </w:p>
          <w:p w14:paraId="748DE3CD" w14:textId="77777777" w:rsidR="00CC06DB" w:rsidRPr="006E5289" w:rsidRDefault="00CC06DB" w:rsidP="00CC06DB">
            <w:pPr>
              <w:jc w:val="both"/>
              <w:rPr>
                <w:sz w:val="18"/>
                <w:szCs w:val="18"/>
              </w:rPr>
            </w:pPr>
            <w:r w:rsidRPr="006E5289">
              <w:rPr>
                <w:sz w:val="18"/>
                <w:szCs w:val="18"/>
              </w:rPr>
              <w:t>Lison Douvegheant</w:t>
            </w:r>
          </w:p>
          <w:p w14:paraId="026922F1" w14:textId="77777777" w:rsidR="00CC06DB" w:rsidRPr="006E5289" w:rsidRDefault="00154B6D" w:rsidP="00CC06DB">
            <w:pPr>
              <w:jc w:val="both"/>
              <w:rPr>
                <w:sz w:val="18"/>
                <w:szCs w:val="18"/>
              </w:rPr>
            </w:pPr>
            <w:hyperlink r:id="rId8" w:history="1">
              <w:r w:rsidR="00CC06DB" w:rsidRPr="006E5289">
                <w:rPr>
                  <w:rStyle w:val="Lienhypertexte"/>
                  <w:sz w:val="18"/>
                  <w:szCs w:val="18"/>
                </w:rPr>
                <w:t>ld@monet-rp.com</w:t>
              </w:r>
            </w:hyperlink>
          </w:p>
          <w:p w14:paraId="40115693" w14:textId="1AF1432B" w:rsidR="00CC06DB" w:rsidRPr="00CC06DB" w:rsidRDefault="00CC06DB" w:rsidP="00CC06DB">
            <w:pPr>
              <w:rPr>
                <w:sz w:val="20"/>
                <w:szCs w:val="20"/>
              </w:rPr>
            </w:pPr>
            <w:r>
              <w:rPr>
                <w:sz w:val="20"/>
                <w:szCs w:val="20"/>
              </w:rPr>
              <w:t>04 78 37 34 64</w:t>
            </w:r>
          </w:p>
        </w:tc>
        <w:tc>
          <w:tcPr>
            <w:tcW w:w="4531" w:type="dxa"/>
          </w:tcPr>
          <w:p w14:paraId="19668C12" w14:textId="77777777" w:rsidR="00CC06DB" w:rsidRDefault="00CC06DB" w:rsidP="00CC06DB">
            <w:pPr>
              <w:shd w:val="clear" w:color="auto" w:fill="FFFFFF"/>
              <w:rPr>
                <w:sz w:val="18"/>
                <w:szCs w:val="18"/>
              </w:rPr>
            </w:pPr>
          </w:p>
          <w:p w14:paraId="0541EC0D" w14:textId="262CA299" w:rsidR="00CC06DB" w:rsidRDefault="00CC06DB" w:rsidP="00CC06DB">
            <w:pPr>
              <w:shd w:val="clear" w:color="auto" w:fill="FFFFFF"/>
              <w:rPr>
                <w:rFonts w:ascii="Times New Roman" w:eastAsia="Times New Roman" w:hAnsi="Times New Roman" w:cs="Times New Roman"/>
                <w:color w:val="222222"/>
                <w:lang w:val="fr-FR"/>
              </w:rPr>
            </w:pPr>
            <w:r w:rsidRPr="00CC06DB">
              <w:rPr>
                <w:sz w:val="18"/>
                <w:szCs w:val="18"/>
              </w:rPr>
              <w:t>EDF</w:t>
            </w:r>
          </w:p>
          <w:p w14:paraId="4D095CC4" w14:textId="77777777" w:rsidR="00CC06DB" w:rsidRPr="00CC06DB" w:rsidRDefault="00154B6D" w:rsidP="00CC06DB">
            <w:pPr>
              <w:jc w:val="both"/>
              <w:rPr>
                <w:rStyle w:val="Lienhypertexte"/>
                <w:sz w:val="18"/>
                <w:szCs w:val="18"/>
              </w:rPr>
            </w:pPr>
            <w:hyperlink r:id="rId9" w:tgtFrame="_blank" w:history="1">
              <w:r w:rsidR="00CC06DB" w:rsidRPr="00CC06DB">
                <w:rPr>
                  <w:rStyle w:val="Lienhypertexte"/>
                  <w:sz w:val="18"/>
                  <w:szCs w:val="18"/>
                </w:rPr>
                <w:t>Service-de-presse@edf.fr</w:t>
              </w:r>
            </w:hyperlink>
          </w:p>
          <w:p w14:paraId="74330BC2" w14:textId="47CE50CE" w:rsidR="00CC06DB" w:rsidRPr="00CC06DB" w:rsidRDefault="00CC06DB" w:rsidP="00CC06DB">
            <w:pPr>
              <w:rPr>
                <w:sz w:val="20"/>
                <w:szCs w:val="20"/>
              </w:rPr>
            </w:pPr>
            <w:r>
              <w:rPr>
                <w:sz w:val="20"/>
                <w:szCs w:val="20"/>
              </w:rPr>
              <w:t>0</w:t>
            </w:r>
            <w:r w:rsidRPr="00CC06DB">
              <w:rPr>
                <w:sz w:val="20"/>
                <w:szCs w:val="20"/>
              </w:rPr>
              <w:t>1 40 42 46 37</w:t>
            </w:r>
          </w:p>
        </w:tc>
      </w:tr>
    </w:tbl>
    <w:p w14:paraId="6D4B9670" w14:textId="07D7282C" w:rsidR="00CC06DB" w:rsidRDefault="00CC06DB" w:rsidP="006E5289">
      <w:pPr>
        <w:rPr>
          <w:sz w:val="20"/>
          <w:szCs w:val="20"/>
        </w:rPr>
      </w:pPr>
    </w:p>
    <w:p w14:paraId="642CDF99" w14:textId="77777777" w:rsidR="00CC06DB" w:rsidRPr="006F0A0A" w:rsidRDefault="00CC06DB" w:rsidP="006E5289">
      <w:pPr>
        <w:rPr>
          <w:noProof/>
          <w:sz w:val="18"/>
          <w:szCs w:val="18"/>
        </w:rPr>
      </w:pPr>
    </w:p>
    <w:p w14:paraId="52086739" w14:textId="77777777" w:rsidR="006F0A0A" w:rsidRDefault="006F0A0A"/>
    <w:sectPr w:rsidR="006F0A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B1D5C" w14:textId="77777777" w:rsidR="00161E26" w:rsidRDefault="00161E26" w:rsidP="006F0A0A">
      <w:pPr>
        <w:spacing w:line="240" w:lineRule="auto"/>
      </w:pPr>
      <w:r>
        <w:separator/>
      </w:r>
    </w:p>
  </w:endnote>
  <w:endnote w:type="continuationSeparator" w:id="0">
    <w:p w14:paraId="7F33C028" w14:textId="77777777" w:rsidR="00161E26" w:rsidRDefault="00161E26" w:rsidP="006F0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C53EE" w14:textId="77777777" w:rsidR="00161E26" w:rsidRDefault="00161E26" w:rsidP="006F0A0A">
      <w:pPr>
        <w:spacing w:line="240" w:lineRule="auto"/>
      </w:pPr>
      <w:r>
        <w:separator/>
      </w:r>
    </w:p>
  </w:footnote>
  <w:footnote w:type="continuationSeparator" w:id="0">
    <w:p w14:paraId="00ABE570" w14:textId="77777777" w:rsidR="00161E26" w:rsidRDefault="00161E26" w:rsidP="006F0A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C"/>
    <w:rsid w:val="00125A79"/>
    <w:rsid w:val="00154B6D"/>
    <w:rsid w:val="00161E26"/>
    <w:rsid w:val="002A7466"/>
    <w:rsid w:val="002B6CFC"/>
    <w:rsid w:val="003A0DD8"/>
    <w:rsid w:val="005C37F1"/>
    <w:rsid w:val="005C4F3E"/>
    <w:rsid w:val="005D4DB5"/>
    <w:rsid w:val="0061226F"/>
    <w:rsid w:val="006E5289"/>
    <w:rsid w:val="006F0A0A"/>
    <w:rsid w:val="00724CC4"/>
    <w:rsid w:val="00735607"/>
    <w:rsid w:val="00797107"/>
    <w:rsid w:val="007A71A9"/>
    <w:rsid w:val="00865A07"/>
    <w:rsid w:val="0088214B"/>
    <w:rsid w:val="008A2520"/>
    <w:rsid w:val="009011CF"/>
    <w:rsid w:val="00AE6098"/>
    <w:rsid w:val="00B11773"/>
    <w:rsid w:val="00B23E9B"/>
    <w:rsid w:val="00B857BC"/>
    <w:rsid w:val="00BC5F6B"/>
    <w:rsid w:val="00C96022"/>
    <w:rsid w:val="00CC06DB"/>
    <w:rsid w:val="00D00C09"/>
    <w:rsid w:val="00D346CF"/>
    <w:rsid w:val="00DB1846"/>
    <w:rsid w:val="00E423C7"/>
    <w:rsid w:val="00E664E5"/>
    <w:rsid w:val="00E66B5D"/>
    <w:rsid w:val="00E74C41"/>
    <w:rsid w:val="00FF3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D3F47"/>
  <w15:chartTrackingRefBased/>
  <w15:docId w15:val="{0821503F-BE42-47C9-BB15-0B2F7E4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CFC"/>
    <w:pPr>
      <w:spacing w:after="0" w:line="276" w:lineRule="auto"/>
    </w:pPr>
    <w:rPr>
      <w:rFonts w:ascii="Arial" w:eastAsia="Arial" w:hAnsi="Arial" w:cs="Arial"/>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B6CFC"/>
    <w:rPr>
      <w:sz w:val="16"/>
      <w:szCs w:val="16"/>
    </w:rPr>
  </w:style>
  <w:style w:type="paragraph" w:styleId="Commentaire">
    <w:name w:val="annotation text"/>
    <w:basedOn w:val="Normal"/>
    <w:link w:val="CommentaireCar"/>
    <w:uiPriority w:val="99"/>
    <w:semiHidden/>
    <w:unhideWhenUsed/>
    <w:rsid w:val="002B6CFC"/>
    <w:pPr>
      <w:spacing w:line="240" w:lineRule="auto"/>
    </w:pPr>
    <w:rPr>
      <w:sz w:val="20"/>
      <w:szCs w:val="20"/>
    </w:rPr>
  </w:style>
  <w:style w:type="character" w:customStyle="1" w:styleId="CommentaireCar">
    <w:name w:val="Commentaire Car"/>
    <w:basedOn w:val="Policepardfaut"/>
    <w:link w:val="Commentaire"/>
    <w:uiPriority w:val="99"/>
    <w:semiHidden/>
    <w:rsid w:val="002B6CFC"/>
    <w:rPr>
      <w:rFonts w:ascii="Arial" w:eastAsia="Arial" w:hAnsi="Arial" w:cs="Arial"/>
      <w:sz w:val="20"/>
      <w:szCs w:val="20"/>
      <w:lang w:val="fr" w:eastAsia="fr-FR"/>
    </w:rPr>
  </w:style>
  <w:style w:type="paragraph" w:styleId="Textedebulles">
    <w:name w:val="Balloon Text"/>
    <w:basedOn w:val="Normal"/>
    <w:link w:val="TextedebullesCar"/>
    <w:uiPriority w:val="99"/>
    <w:semiHidden/>
    <w:unhideWhenUsed/>
    <w:rsid w:val="002B6CF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6CFC"/>
    <w:rPr>
      <w:rFonts w:ascii="Segoe UI" w:eastAsia="Arial" w:hAnsi="Segoe UI" w:cs="Segoe UI"/>
      <w:sz w:val="18"/>
      <w:szCs w:val="18"/>
      <w:lang w:val="fr" w:eastAsia="fr-FR"/>
    </w:rPr>
  </w:style>
  <w:style w:type="paragraph" w:styleId="Objetducommentaire">
    <w:name w:val="annotation subject"/>
    <w:basedOn w:val="Commentaire"/>
    <w:next w:val="Commentaire"/>
    <w:link w:val="ObjetducommentaireCar"/>
    <w:uiPriority w:val="99"/>
    <w:semiHidden/>
    <w:unhideWhenUsed/>
    <w:rsid w:val="00BC5F6B"/>
    <w:rPr>
      <w:b/>
      <w:bCs/>
    </w:rPr>
  </w:style>
  <w:style w:type="character" w:customStyle="1" w:styleId="ObjetducommentaireCar">
    <w:name w:val="Objet du commentaire Car"/>
    <w:basedOn w:val="CommentaireCar"/>
    <w:link w:val="Objetducommentaire"/>
    <w:uiPriority w:val="99"/>
    <w:semiHidden/>
    <w:rsid w:val="00BC5F6B"/>
    <w:rPr>
      <w:rFonts w:ascii="Arial" w:eastAsia="Arial" w:hAnsi="Arial" w:cs="Arial"/>
      <w:b/>
      <w:bCs/>
      <w:sz w:val="20"/>
      <w:szCs w:val="20"/>
      <w:lang w:val="fr" w:eastAsia="fr-FR"/>
    </w:rPr>
  </w:style>
  <w:style w:type="paragraph" w:styleId="En-tte">
    <w:name w:val="header"/>
    <w:basedOn w:val="Normal"/>
    <w:link w:val="En-tteCar"/>
    <w:uiPriority w:val="99"/>
    <w:unhideWhenUsed/>
    <w:rsid w:val="006F0A0A"/>
    <w:pPr>
      <w:tabs>
        <w:tab w:val="center" w:pos="4536"/>
        <w:tab w:val="right" w:pos="9072"/>
      </w:tabs>
      <w:spacing w:line="240" w:lineRule="auto"/>
    </w:pPr>
  </w:style>
  <w:style w:type="character" w:customStyle="1" w:styleId="En-tteCar">
    <w:name w:val="En-tête Car"/>
    <w:basedOn w:val="Policepardfaut"/>
    <w:link w:val="En-tte"/>
    <w:uiPriority w:val="99"/>
    <w:rsid w:val="006F0A0A"/>
    <w:rPr>
      <w:rFonts w:ascii="Arial" w:eastAsia="Arial" w:hAnsi="Arial" w:cs="Arial"/>
      <w:lang w:val="fr" w:eastAsia="fr-FR"/>
    </w:rPr>
  </w:style>
  <w:style w:type="paragraph" w:styleId="Pieddepage">
    <w:name w:val="footer"/>
    <w:basedOn w:val="Normal"/>
    <w:link w:val="PieddepageCar"/>
    <w:uiPriority w:val="99"/>
    <w:unhideWhenUsed/>
    <w:rsid w:val="006F0A0A"/>
    <w:pPr>
      <w:tabs>
        <w:tab w:val="center" w:pos="4536"/>
        <w:tab w:val="right" w:pos="9072"/>
      </w:tabs>
      <w:spacing w:line="240" w:lineRule="auto"/>
    </w:pPr>
  </w:style>
  <w:style w:type="character" w:customStyle="1" w:styleId="PieddepageCar">
    <w:name w:val="Pied de page Car"/>
    <w:basedOn w:val="Policepardfaut"/>
    <w:link w:val="Pieddepage"/>
    <w:uiPriority w:val="99"/>
    <w:rsid w:val="006F0A0A"/>
    <w:rPr>
      <w:rFonts w:ascii="Arial" w:eastAsia="Arial" w:hAnsi="Arial" w:cs="Arial"/>
      <w:lang w:val="fr" w:eastAsia="fr-FR"/>
    </w:rPr>
  </w:style>
  <w:style w:type="character" w:styleId="Lienhypertexte">
    <w:name w:val="Hyperlink"/>
    <w:basedOn w:val="Policepardfaut"/>
    <w:uiPriority w:val="99"/>
    <w:unhideWhenUsed/>
    <w:rsid w:val="006F0A0A"/>
    <w:rPr>
      <w:color w:val="0563C1" w:themeColor="hyperlink"/>
      <w:u w:val="single"/>
    </w:rPr>
  </w:style>
  <w:style w:type="character" w:customStyle="1" w:styleId="UnresolvedMention">
    <w:name w:val="Unresolved Mention"/>
    <w:basedOn w:val="Policepardfaut"/>
    <w:uiPriority w:val="99"/>
    <w:semiHidden/>
    <w:unhideWhenUsed/>
    <w:rsid w:val="006F0A0A"/>
    <w:rPr>
      <w:color w:val="605E5C"/>
      <w:shd w:val="clear" w:color="auto" w:fill="E1DFDD"/>
    </w:rPr>
  </w:style>
  <w:style w:type="paragraph" w:customStyle="1" w:styleId="m-2755677593579605907textecourant">
    <w:name w:val="m_-2755677593579605907textecourant"/>
    <w:basedOn w:val="Normal"/>
    <w:rsid w:val="00CC06DB"/>
    <w:pPr>
      <w:spacing w:before="100" w:beforeAutospacing="1" w:after="100" w:afterAutospacing="1" w:line="240" w:lineRule="auto"/>
    </w:pPr>
    <w:rPr>
      <w:rFonts w:ascii="Times New Roman" w:eastAsia="Times New Roman" w:hAnsi="Times New Roman" w:cs="Times New Roman"/>
      <w:sz w:val="24"/>
      <w:szCs w:val="24"/>
      <w:lang w:val="fr-FR"/>
    </w:rPr>
  </w:style>
  <w:style w:type="table" w:styleId="Grilledutableau">
    <w:name w:val="Table Grid"/>
    <w:basedOn w:val="TableauNormal"/>
    <w:uiPriority w:val="39"/>
    <w:rsid w:val="00CC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3328">
      <w:bodyDiv w:val="1"/>
      <w:marLeft w:val="0"/>
      <w:marRight w:val="0"/>
      <w:marTop w:val="0"/>
      <w:marBottom w:val="0"/>
      <w:divBdr>
        <w:top w:val="none" w:sz="0" w:space="0" w:color="auto"/>
        <w:left w:val="none" w:sz="0" w:space="0" w:color="auto"/>
        <w:bottom w:val="none" w:sz="0" w:space="0" w:color="auto"/>
        <w:right w:val="none" w:sz="0" w:space="0" w:color="auto"/>
      </w:divBdr>
    </w:div>
    <w:div w:id="193152287">
      <w:bodyDiv w:val="1"/>
      <w:marLeft w:val="0"/>
      <w:marRight w:val="0"/>
      <w:marTop w:val="0"/>
      <w:marBottom w:val="0"/>
      <w:divBdr>
        <w:top w:val="none" w:sz="0" w:space="0" w:color="auto"/>
        <w:left w:val="none" w:sz="0" w:space="0" w:color="auto"/>
        <w:bottom w:val="none" w:sz="0" w:space="0" w:color="auto"/>
        <w:right w:val="none" w:sz="0" w:space="0" w:color="auto"/>
      </w:divBdr>
    </w:div>
    <w:div w:id="4051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monet-rp.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ervice-de-presse@ed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ANDRONACHI Iuliana</dc:creator>
  <cp:keywords/>
  <dc:description/>
  <cp:lastModifiedBy>ROBINNE Marie Raphaelle</cp:lastModifiedBy>
  <cp:revision>2</cp:revision>
  <dcterms:created xsi:type="dcterms:W3CDTF">2021-09-09T12:36:00Z</dcterms:created>
  <dcterms:modified xsi:type="dcterms:W3CDTF">2021-09-09T12:36:00Z</dcterms:modified>
</cp:coreProperties>
</file>